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FDEF" w14:textId="77777777" w:rsidR="00861F1B" w:rsidRDefault="00861F1B" w:rsidP="00B76285">
      <w:pPr>
        <w:spacing w:before="100" w:beforeAutospacing="1" w:after="100" w:afterAutospacing="1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Informacja prasowa</w:t>
      </w:r>
    </w:p>
    <w:p w14:paraId="0FD4B65C" w14:textId="5B1B76B6" w:rsidR="00861F1B" w:rsidRDefault="00861F1B" w:rsidP="00B7628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Warszawa, </w:t>
      </w:r>
      <w:r w:rsidR="00CF782F">
        <w:rPr>
          <w:b/>
          <w:sz w:val="20"/>
          <w:szCs w:val="20"/>
        </w:rPr>
        <w:t>06</w:t>
      </w:r>
      <w:r>
        <w:rPr>
          <w:b/>
          <w:sz w:val="20"/>
          <w:szCs w:val="20"/>
        </w:rPr>
        <w:t>.</w:t>
      </w:r>
      <w:r w:rsidR="00F70D86">
        <w:rPr>
          <w:b/>
          <w:sz w:val="20"/>
          <w:szCs w:val="20"/>
        </w:rPr>
        <w:t>0</w:t>
      </w:r>
      <w:r w:rsidR="00CF782F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.202</w:t>
      </w:r>
      <w:r w:rsidR="00C74164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r.</w:t>
      </w:r>
    </w:p>
    <w:p w14:paraId="6E64968D" w14:textId="77777777" w:rsidR="00861F1B" w:rsidRDefault="00861F1B" w:rsidP="00B76285">
      <w:pPr>
        <w:spacing w:before="100" w:beforeAutospacing="1" w:after="100" w:afterAutospacing="1"/>
        <w:contextualSpacing/>
        <w:jc w:val="right"/>
        <w:rPr>
          <w:b/>
          <w:sz w:val="20"/>
          <w:szCs w:val="20"/>
        </w:rPr>
      </w:pPr>
    </w:p>
    <w:p w14:paraId="2A2E3F5C" w14:textId="2E2CC340" w:rsidR="00F70D86" w:rsidRDefault="004C786F" w:rsidP="00B7628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7"/>
          <w:szCs w:val="27"/>
        </w:rPr>
      </w:pPr>
      <w:r w:rsidRPr="004C786F">
        <w:rPr>
          <w:rFonts w:cs="Calibri"/>
          <w:b/>
          <w:bCs/>
          <w:sz w:val="27"/>
          <w:szCs w:val="27"/>
        </w:rPr>
        <w:t>Rozwój biznesu na globalnych rynkach w oparciu o faktoring międzynarodowy</w:t>
      </w:r>
    </w:p>
    <w:p w14:paraId="0530DADD" w14:textId="77777777" w:rsidR="00F177FE" w:rsidRDefault="00F177FE" w:rsidP="00B76285">
      <w:pPr>
        <w:spacing w:before="100" w:beforeAutospacing="1" w:after="100" w:afterAutospacing="1"/>
        <w:contextualSpacing/>
        <w:jc w:val="center"/>
        <w:rPr>
          <w:rFonts w:cs="Calibri"/>
          <w:b/>
          <w:bCs/>
          <w:sz w:val="27"/>
          <w:szCs w:val="27"/>
        </w:rPr>
      </w:pPr>
    </w:p>
    <w:p w14:paraId="14F3A10E" w14:textId="19AA3D23" w:rsidR="00F177FE" w:rsidRDefault="00F177FE" w:rsidP="00B76285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  <w:r w:rsidRPr="00F177FE">
        <w:rPr>
          <w:rFonts w:cs="Calibri"/>
          <w:b/>
          <w:bCs/>
          <w:sz w:val="24"/>
          <w:szCs w:val="24"/>
        </w:rPr>
        <w:t>W dzisiejszym</w:t>
      </w:r>
      <w:r>
        <w:rPr>
          <w:rFonts w:cs="Calibri"/>
          <w:b/>
          <w:bCs/>
          <w:sz w:val="24"/>
          <w:szCs w:val="24"/>
        </w:rPr>
        <w:t>,</w:t>
      </w:r>
      <w:r w:rsidRPr="00F177FE">
        <w:rPr>
          <w:rFonts w:cs="Calibri"/>
          <w:b/>
          <w:bCs/>
          <w:sz w:val="24"/>
          <w:szCs w:val="24"/>
        </w:rPr>
        <w:t xml:space="preserve"> zglobalizowanym świecie prowadzenie działalności na skalę międzynarodową jest możliwe dla każdej firmy, która ma tylko odwagę po to sięgnąć. Międzynarodowy rozwój wiąże się jednak z wieloma wyzwaniami, na które warto się przygotować.</w:t>
      </w:r>
    </w:p>
    <w:p w14:paraId="72496334" w14:textId="77777777" w:rsidR="00F177FE" w:rsidRDefault="00F177FE" w:rsidP="00B76285">
      <w:pPr>
        <w:spacing w:before="100" w:beforeAutospacing="1" w:after="100" w:afterAutospacing="1"/>
        <w:contextualSpacing/>
        <w:jc w:val="both"/>
        <w:rPr>
          <w:rFonts w:cs="Calibri"/>
          <w:b/>
          <w:bCs/>
          <w:sz w:val="24"/>
          <w:szCs w:val="24"/>
        </w:rPr>
      </w:pPr>
    </w:p>
    <w:p w14:paraId="4DE90AE0" w14:textId="415B33EA" w:rsidR="00F177FE" w:rsidRDefault="00F177FE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F177FE">
        <w:rPr>
          <w:rFonts w:cs="Calibri"/>
          <w:sz w:val="24"/>
          <w:szCs w:val="24"/>
        </w:rPr>
        <w:t>Prowadzenie międzynarodowej działalności wymaga obecności w kraju kontrahenta, stałego monitorowania transakcji i znajomości lokalnego prawa. Usługa faktoringu międzynarodowego poprawia bezpieczeństwo transakcji i zwiększa płynność finansową firmy. Z faktoringu międzynarodowego mogą skorzystać firmy posiadające swoje zagraniczne oddziały.</w:t>
      </w:r>
    </w:p>
    <w:p w14:paraId="399E383C" w14:textId="77777777" w:rsidR="00B76285" w:rsidRDefault="00B76285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04C12FB1" w14:textId="44845E24" w:rsidR="00B76285" w:rsidRDefault="00B76285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Wykorzystując potencjał faktoringu międzynarodowego, można zwiększyć konkurencyjność swojej firmy oraz jej bezpieczeństwo finansowe. Usługa pozwala na centralne zarządzanie finansami oddziałów zagranicznych, a także stanowi ochronę przed wahaniami kursu walutowego. Ponadto, przedsiębiorca może liczyć na weryfikację potencjalnych kontrahentów na zagranicznym rynku oraz analizę lokalnie obowiązującego prawa. </w:t>
      </w:r>
    </w:p>
    <w:p w14:paraId="4D8EFA96" w14:textId="77777777" w:rsidR="00B76285" w:rsidRDefault="00B76285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69F3EBF9" w14:textId="13EC75B7" w:rsidR="00B76285" w:rsidRDefault="00B76285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B76285">
        <w:rPr>
          <w:rFonts w:cs="Calibri"/>
          <w:i/>
          <w:iCs/>
          <w:sz w:val="24"/>
          <w:szCs w:val="24"/>
        </w:rPr>
        <w:t>Dla naszych klientów jesteśmy przede wszystkim partnerami, na których zawsze można polegać, rozwijając swój biznes na globalnych rynkach. Właśnie dlatego nasze usługi faktoringu międzynarodowego zostały zaprojektowane</w:t>
      </w:r>
      <w:r w:rsidR="00D43B6C">
        <w:rPr>
          <w:rFonts w:cs="Calibri"/>
          <w:i/>
          <w:iCs/>
          <w:sz w:val="24"/>
          <w:szCs w:val="24"/>
        </w:rPr>
        <w:t xml:space="preserve"> w taki sposób</w:t>
      </w:r>
      <w:r w:rsidRPr="00B76285">
        <w:rPr>
          <w:rFonts w:cs="Calibri"/>
          <w:i/>
          <w:iCs/>
          <w:sz w:val="24"/>
          <w:szCs w:val="24"/>
        </w:rPr>
        <w:t xml:space="preserve">, aby ułatwić firmom ekspansję bez niepotrzebnego ryzyka finansowego. Gorsza sytuacja ekonomiczna w danym kraju może </w:t>
      </w:r>
      <w:r w:rsidR="007055F7">
        <w:rPr>
          <w:rFonts w:cs="Calibri"/>
          <w:i/>
          <w:iCs/>
          <w:sz w:val="24"/>
          <w:szCs w:val="24"/>
        </w:rPr>
        <w:t>odbić się na wypłacalności</w:t>
      </w:r>
      <w:r w:rsidRPr="00B76285">
        <w:rPr>
          <w:rFonts w:cs="Calibri"/>
          <w:i/>
          <w:iCs/>
          <w:sz w:val="24"/>
          <w:szCs w:val="24"/>
        </w:rPr>
        <w:t xml:space="preserve"> firm operujących na danym rynku. Warto wówczas rozważyć faktoring z przejęciem ryzyka niewypłacalności dłużnika na odbiorców zagranicznych</w:t>
      </w:r>
      <w:r w:rsidRPr="00B76285">
        <w:rPr>
          <w:rFonts w:cs="Calibri"/>
          <w:sz w:val="24"/>
          <w:szCs w:val="24"/>
        </w:rPr>
        <w:t xml:space="preserve"> – mówi </w:t>
      </w:r>
      <w:r w:rsidR="00C507E0">
        <w:rPr>
          <w:rFonts w:cs="Calibri"/>
          <w:b/>
          <w:bCs/>
          <w:sz w:val="24"/>
          <w:szCs w:val="24"/>
        </w:rPr>
        <w:t>Mariusz Łukasiewicz</w:t>
      </w:r>
      <w:r w:rsidRPr="00B76285">
        <w:rPr>
          <w:rFonts w:cs="Calibri"/>
          <w:b/>
          <w:bCs/>
          <w:sz w:val="24"/>
          <w:szCs w:val="24"/>
        </w:rPr>
        <w:t xml:space="preserve">, </w:t>
      </w:r>
      <w:r w:rsidR="00C507E0">
        <w:rPr>
          <w:rFonts w:cs="Calibri"/>
          <w:b/>
          <w:bCs/>
          <w:sz w:val="24"/>
          <w:szCs w:val="24"/>
        </w:rPr>
        <w:t>prezes</w:t>
      </w:r>
      <w:r w:rsidRPr="00B76285">
        <w:rPr>
          <w:rFonts w:cs="Calibri"/>
          <w:b/>
          <w:bCs/>
          <w:sz w:val="24"/>
          <w:szCs w:val="24"/>
        </w:rPr>
        <w:t xml:space="preserve"> zarządu BNP Paribas Faktoring</w:t>
      </w:r>
      <w:r w:rsidRPr="00B76285">
        <w:rPr>
          <w:rFonts w:cs="Calibri"/>
          <w:sz w:val="24"/>
          <w:szCs w:val="24"/>
        </w:rPr>
        <w:t>.</w:t>
      </w:r>
    </w:p>
    <w:p w14:paraId="112EACEB" w14:textId="77777777" w:rsidR="00B76285" w:rsidRDefault="00B76285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560F2D8" w14:textId="243CC992" w:rsidR="007055F7" w:rsidRPr="007055F7" w:rsidRDefault="007055F7" w:rsidP="007055F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7055F7">
        <w:rPr>
          <w:rFonts w:cs="Calibri"/>
          <w:sz w:val="24"/>
          <w:szCs w:val="24"/>
        </w:rPr>
        <w:t>Spośród dostępnych rozwiązań faktoringowych moż</w:t>
      </w:r>
      <w:r>
        <w:rPr>
          <w:rFonts w:cs="Calibri"/>
          <w:sz w:val="24"/>
          <w:szCs w:val="24"/>
        </w:rPr>
        <w:t>na</w:t>
      </w:r>
      <w:r w:rsidRPr="007055F7">
        <w:rPr>
          <w:rFonts w:cs="Calibri"/>
          <w:sz w:val="24"/>
          <w:szCs w:val="24"/>
        </w:rPr>
        <w:t xml:space="preserve"> wyróżnić usługę Multi-Local oraz Panaeuropen. Pierwsza z nich zakłada centralną koordynację i lokalną realizację. W tym przypadku, klienci BNP Paribas Faktoring mogą zarządzać majątkiem całej grupy międzynarodowej za pośrednictwem portalu Multi-Local Web. Podległym spółkom udostępniany jest dostęp do lokalnych platform faktoringowych. </w:t>
      </w:r>
    </w:p>
    <w:p w14:paraId="1350FF2B" w14:textId="77777777" w:rsidR="007055F7" w:rsidRPr="007055F7" w:rsidRDefault="007055F7" w:rsidP="007055F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2559DF07" w14:textId="77777777" w:rsidR="007055F7" w:rsidRPr="007055F7" w:rsidRDefault="007055F7" w:rsidP="007055F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7055F7">
        <w:rPr>
          <w:rFonts w:cs="Calibri"/>
          <w:sz w:val="24"/>
          <w:szCs w:val="24"/>
        </w:rPr>
        <w:t xml:space="preserve">Rozwiązanie jest przeznaczone dla przedsiębiorstw planujących ekspansję na rynki międzynarodowe, firm, którym zależy na lokalnej obsłudze operacyjnej oraz klientów, którzy </w:t>
      </w:r>
      <w:r w:rsidRPr="007055F7">
        <w:rPr>
          <w:rFonts w:cs="Calibri"/>
          <w:sz w:val="24"/>
          <w:szCs w:val="24"/>
        </w:rPr>
        <w:lastRenderedPageBreak/>
        <w:t>chcą zachować centralny nadzór nad umowami. Skorzystać z niego mogą również działające międzynarodowo spółki, zarządzane centralnie i otwierające filie w innych krajach.</w:t>
      </w:r>
    </w:p>
    <w:p w14:paraId="03CDD12F" w14:textId="77777777" w:rsidR="007055F7" w:rsidRPr="007055F7" w:rsidRDefault="007055F7" w:rsidP="007055F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5F17C2D2" w14:textId="09DEB00D" w:rsidR="00B76285" w:rsidRDefault="007055F7" w:rsidP="007055F7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  <w:r w:rsidRPr="007055F7">
        <w:rPr>
          <w:rFonts w:cs="Calibri"/>
          <w:sz w:val="24"/>
          <w:szCs w:val="24"/>
        </w:rPr>
        <w:t>Usługa Paneuropean powstała z myślą o wielooddziałowych grupach kapitałowych. Jest to jeden system i jeden sposób zarządzania należnościami, czyli centralna obsługa operacyjna wszystkich umów dotyczących podmiotów prowadzących działalność na obszarze Unii Europejskiej. Z rozwiązania mogą skorzystać grupy kapitałowe z przedsiębiorstwami w UE oraz firmy centralnie kontrolujące finanse spółek z grupy.</w:t>
      </w:r>
    </w:p>
    <w:p w14:paraId="73FE37B8" w14:textId="77777777" w:rsidR="00EF63CB" w:rsidRPr="00EF63CB" w:rsidRDefault="00EF63CB" w:rsidP="00B76285">
      <w:pPr>
        <w:spacing w:before="100" w:beforeAutospacing="1" w:after="100" w:afterAutospacing="1"/>
        <w:contextualSpacing/>
        <w:jc w:val="both"/>
        <w:rPr>
          <w:rFonts w:cs="Calibri"/>
          <w:sz w:val="24"/>
          <w:szCs w:val="24"/>
        </w:rPr>
      </w:pPr>
    </w:p>
    <w:p w14:paraId="19C016DC" w14:textId="77777777" w:rsidR="007C430C" w:rsidRPr="007C430C" w:rsidRDefault="007C430C" w:rsidP="00B76285">
      <w:pPr>
        <w:spacing w:before="100" w:beforeAutospacing="1" w:after="100" w:afterAutospacing="1"/>
        <w:contextualSpacing/>
        <w:jc w:val="center"/>
      </w:pPr>
      <w:r w:rsidRPr="007C430C">
        <w:t>***</w:t>
      </w:r>
    </w:p>
    <w:p w14:paraId="7939A69F" w14:textId="77777777" w:rsidR="007C430C" w:rsidRPr="007C430C" w:rsidRDefault="007C430C" w:rsidP="00B76285">
      <w:pPr>
        <w:spacing w:before="100" w:beforeAutospacing="1" w:after="100" w:afterAutospacing="1"/>
        <w:contextualSpacing/>
        <w:jc w:val="both"/>
      </w:pPr>
      <w:r w:rsidRPr="007C430C">
        <w:rPr>
          <w:b/>
          <w:sz w:val="20"/>
        </w:rPr>
        <w:t>BNP Paribas Faktoring Sp. z o.o.</w:t>
      </w:r>
      <w:r w:rsidRPr="007C430C">
        <w:rPr>
          <w:sz w:val="20"/>
        </w:rPr>
        <w:t xml:space="preserve"> jest spółką faktoringową, należącą do Grupy BNP Paribas Factoring, lidera na międzynarodowym rynku faktoringu</w:t>
      </w:r>
      <w:r w:rsidR="00BF7B67">
        <w:rPr>
          <w:sz w:val="20"/>
        </w:rPr>
        <w:t xml:space="preserve"> z</w:t>
      </w:r>
      <w:r w:rsidRPr="007C430C">
        <w:rPr>
          <w:sz w:val="20"/>
        </w:rPr>
        <w:t xml:space="preserve"> 50-letnim doświadczeniem oraz siecią spółek funkcjonujących w </w:t>
      </w:r>
      <w:r w:rsidRPr="00C82989">
        <w:rPr>
          <w:sz w:val="20"/>
        </w:rPr>
        <w:t>17 krajach Europy, Azji i Afryki.</w:t>
      </w:r>
    </w:p>
    <w:p w14:paraId="33BA2483" w14:textId="77777777" w:rsidR="007C430C" w:rsidRDefault="007C430C" w:rsidP="00B7628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07178E15" w14:textId="77777777" w:rsidR="007C430C" w:rsidRDefault="007C430C" w:rsidP="00B76285">
      <w:pPr>
        <w:spacing w:before="100" w:beforeAutospacing="1" w:after="100" w:afterAutospacing="1"/>
        <w:contextualSpacing/>
        <w:jc w:val="both"/>
        <w:rPr>
          <w:sz w:val="20"/>
        </w:rPr>
      </w:pPr>
      <w:r w:rsidRPr="007C430C">
        <w:rPr>
          <w:sz w:val="20"/>
        </w:rPr>
        <w:t>BNP Paribas Faktoring w Polsce działa od 2006 roku i jest jedną z najszybciej rozwijających się firm faktoringowych na</w:t>
      </w:r>
      <w:r>
        <w:rPr>
          <w:sz w:val="20"/>
        </w:rPr>
        <w:t xml:space="preserve"> rynku, zajmując czołowe miejsca w rankingach</w:t>
      </w:r>
      <w:r w:rsidRPr="007C430C">
        <w:rPr>
          <w:sz w:val="20"/>
        </w:rPr>
        <w:t xml:space="preserve"> firm faktoringowych</w:t>
      </w:r>
      <w:r>
        <w:rPr>
          <w:sz w:val="20"/>
        </w:rPr>
        <w:t>, publikowanych</w:t>
      </w:r>
      <w:r w:rsidRPr="007C430C">
        <w:rPr>
          <w:sz w:val="20"/>
        </w:rPr>
        <w:t xml:space="preserve"> przez Polski Związek Faktorów. Swoją ofertę kieruje do małych, średnich i dużych przedsiębiorstw produkcyjnych, handlowych, usługowych oraz rolno</w:t>
      </w:r>
      <w:r>
        <w:rPr>
          <w:sz w:val="20"/>
        </w:rPr>
        <w:t>-</w:t>
      </w:r>
      <w:r w:rsidRPr="007C430C">
        <w:rPr>
          <w:sz w:val="20"/>
        </w:rPr>
        <w:t>spożywczych, prowadzących sprzedaż z odroczonym terminem płatności. Korzystając z doświadczeń światowej grupy, spółka oferuje rozwiązania również dla międzynarodowych grup kapitałowych, których celem jest jednolite podejście do faktoringu we wszystkich podmiotach. Oferta spółki dostępna jest</w:t>
      </w:r>
      <w:r>
        <w:rPr>
          <w:sz w:val="20"/>
        </w:rPr>
        <w:t xml:space="preserve"> także</w:t>
      </w:r>
      <w:r w:rsidRPr="007C430C">
        <w:rPr>
          <w:sz w:val="20"/>
        </w:rPr>
        <w:t xml:space="preserve"> w oddziałach BNP Paribas Bank Polska S.A. na terenie całego kraju.</w:t>
      </w:r>
      <w:r w:rsidR="00051D9D">
        <w:rPr>
          <w:sz w:val="20"/>
        </w:rPr>
        <w:t xml:space="preserve"> </w:t>
      </w:r>
    </w:p>
    <w:p w14:paraId="2DB282F6" w14:textId="77777777" w:rsidR="00DE0E30" w:rsidRDefault="00DE0E30" w:rsidP="00B7628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3456EE36" w14:textId="77777777" w:rsidR="00DE0E30" w:rsidRDefault="00DE0E30" w:rsidP="00B76285">
      <w:pPr>
        <w:spacing w:before="100" w:beforeAutospacing="1" w:after="100" w:afterAutospacing="1"/>
        <w:contextualSpacing/>
        <w:jc w:val="both"/>
        <w:rPr>
          <w:sz w:val="20"/>
        </w:rPr>
      </w:pPr>
      <w:r>
        <w:rPr>
          <w:sz w:val="20"/>
        </w:rPr>
        <w:t xml:space="preserve">Spółka jest członkiem światowych i polskich organizacji, zrzeszających firmy faktoringowe, m.in. </w:t>
      </w:r>
      <w:r>
        <w:rPr>
          <w:b/>
          <w:sz w:val="20"/>
        </w:rPr>
        <w:t>Polskiego Związku</w:t>
      </w:r>
      <w:r w:rsidRPr="00DE0E30">
        <w:rPr>
          <w:b/>
          <w:sz w:val="20"/>
        </w:rPr>
        <w:t xml:space="preserve"> Faktorów i FCI (Facilitating Open Account – Receivables Finance).</w:t>
      </w:r>
      <w:r w:rsidR="00051D9D">
        <w:rPr>
          <w:b/>
          <w:sz w:val="20"/>
        </w:rPr>
        <w:t xml:space="preserve"> </w:t>
      </w:r>
    </w:p>
    <w:p w14:paraId="05FD551A" w14:textId="77777777" w:rsidR="007C430C" w:rsidRDefault="007C430C" w:rsidP="00B76285">
      <w:pPr>
        <w:spacing w:before="100" w:beforeAutospacing="1" w:after="100" w:afterAutospacing="1"/>
        <w:contextualSpacing/>
        <w:jc w:val="both"/>
        <w:rPr>
          <w:sz w:val="20"/>
        </w:rPr>
      </w:pPr>
    </w:p>
    <w:p w14:paraId="62B684DC" w14:textId="77777777" w:rsidR="007C430C" w:rsidRPr="000943E4" w:rsidRDefault="007C430C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Więcej informacji:</w:t>
      </w:r>
    </w:p>
    <w:p w14:paraId="0F13D187" w14:textId="77777777" w:rsidR="007C430C" w:rsidRPr="000943E4" w:rsidRDefault="00000000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b/>
          <w:color w:val="000000"/>
          <w:sz w:val="20"/>
          <w:szCs w:val="20"/>
        </w:rPr>
      </w:pPr>
      <w:hyperlink r:id="rId6" w:history="1">
        <w:r w:rsidR="007C430C" w:rsidRPr="00B9218E">
          <w:rPr>
            <w:rStyle w:val="Hipercze"/>
            <w:b/>
            <w:sz w:val="20"/>
            <w:szCs w:val="20"/>
          </w:rPr>
          <w:t>www.faktoring.bnpparibas.pl</w:t>
        </w:r>
      </w:hyperlink>
      <w:r w:rsidR="007C430C">
        <w:rPr>
          <w:b/>
          <w:sz w:val="20"/>
          <w:szCs w:val="20"/>
        </w:rPr>
        <w:t xml:space="preserve"> </w:t>
      </w:r>
    </w:p>
    <w:p w14:paraId="0659E736" w14:textId="77777777" w:rsidR="007C430C" w:rsidRPr="000943E4" w:rsidRDefault="007C430C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</w:p>
    <w:p w14:paraId="4207BAD0" w14:textId="77777777" w:rsidR="007C430C" w:rsidRPr="000943E4" w:rsidRDefault="007C430C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b/>
          <w:color w:val="000000"/>
          <w:sz w:val="20"/>
          <w:szCs w:val="20"/>
        </w:rPr>
        <w:t>Kontakt dla mediów:</w:t>
      </w:r>
    </w:p>
    <w:p w14:paraId="3D96A03E" w14:textId="77777777" w:rsidR="007C430C" w:rsidRPr="000943E4" w:rsidRDefault="007C430C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Bartosz Sosnówka</w:t>
      </w:r>
    </w:p>
    <w:p w14:paraId="568E4CD4" w14:textId="77777777" w:rsidR="007C430C" w:rsidRPr="000943E4" w:rsidRDefault="007C430C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 xml:space="preserve">E: </w:t>
      </w:r>
      <w:hyperlink r:id="rId7">
        <w:r w:rsidRPr="000943E4">
          <w:rPr>
            <w:color w:val="0000FF"/>
            <w:sz w:val="20"/>
            <w:szCs w:val="20"/>
            <w:u w:val="single"/>
          </w:rPr>
          <w:t>bartosz.sosnowka@dwapiar.pl</w:t>
        </w:r>
      </w:hyperlink>
    </w:p>
    <w:p w14:paraId="2C2646D8" w14:textId="77777777" w:rsidR="007C430C" w:rsidRPr="00124090" w:rsidRDefault="007C430C" w:rsidP="00B7628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hanging="2"/>
        <w:contextualSpacing/>
        <w:jc w:val="both"/>
        <w:rPr>
          <w:color w:val="000000"/>
          <w:sz w:val="20"/>
          <w:szCs w:val="20"/>
        </w:rPr>
      </w:pPr>
      <w:r w:rsidRPr="000943E4">
        <w:rPr>
          <w:color w:val="000000"/>
          <w:sz w:val="20"/>
          <w:szCs w:val="20"/>
        </w:rPr>
        <w:t>M: 517 476</w:t>
      </w:r>
      <w:r>
        <w:rPr>
          <w:color w:val="000000"/>
          <w:sz w:val="20"/>
          <w:szCs w:val="20"/>
        </w:rPr>
        <w:t> </w:t>
      </w:r>
      <w:r w:rsidRPr="000943E4">
        <w:rPr>
          <w:color w:val="000000"/>
          <w:sz w:val="20"/>
          <w:szCs w:val="20"/>
        </w:rPr>
        <w:t>361</w:t>
      </w:r>
    </w:p>
    <w:sectPr w:rsidR="007C430C" w:rsidRPr="001240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BDF8D" w14:textId="77777777" w:rsidR="00954AA8" w:rsidRDefault="00954AA8" w:rsidP="007C430C">
      <w:pPr>
        <w:spacing w:after="0" w:line="240" w:lineRule="auto"/>
      </w:pPr>
      <w:r>
        <w:separator/>
      </w:r>
    </w:p>
  </w:endnote>
  <w:endnote w:type="continuationSeparator" w:id="0">
    <w:p w14:paraId="58F7CB23" w14:textId="77777777" w:rsidR="00954AA8" w:rsidRDefault="00954AA8" w:rsidP="007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09D16" w14:textId="77777777" w:rsidR="00954AA8" w:rsidRDefault="00954AA8" w:rsidP="007C430C">
      <w:pPr>
        <w:spacing w:after="0" w:line="240" w:lineRule="auto"/>
      </w:pPr>
      <w:r>
        <w:separator/>
      </w:r>
    </w:p>
  </w:footnote>
  <w:footnote w:type="continuationSeparator" w:id="0">
    <w:p w14:paraId="74402651" w14:textId="77777777" w:rsidR="00954AA8" w:rsidRDefault="00954AA8" w:rsidP="007C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68E8C" w14:textId="77777777" w:rsidR="007C430C" w:rsidRDefault="001D716F" w:rsidP="007C430C">
    <w:pPr>
      <w:pStyle w:val="Nagwek"/>
      <w:jc w:val="center"/>
    </w:pPr>
    <w:r w:rsidRPr="00B4370B">
      <w:rPr>
        <w:noProof/>
        <w:lang w:eastAsia="pl-PL"/>
      </w:rPr>
      <w:drawing>
        <wp:inline distT="0" distB="0" distL="0" distR="0" wp14:anchorId="680EEA29" wp14:editId="1F3A0BE6">
          <wp:extent cx="3611880" cy="10134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188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0C"/>
    <w:rsid w:val="00051D9D"/>
    <w:rsid w:val="0005686E"/>
    <w:rsid w:val="00060453"/>
    <w:rsid w:val="000620A4"/>
    <w:rsid w:val="00062187"/>
    <w:rsid w:val="0009386E"/>
    <w:rsid w:val="000B3BB9"/>
    <w:rsid w:val="000E0E4F"/>
    <w:rsid w:val="000F2ECA"/>
    <w:rsid w:val="0010191C"/>
    <w:rsid w:val="001021FC"/>
    <w:rsid w:val="00111653"/>
    <w:rsid w:val="001225D5"/>
    <w:rsid w:val="00124090"/>
    <w:rsid w:val="00144540"/>
    <w:rsid w:val="00157CAF"/>
    <w:rsid w:val="00161687"/>
    <w:rsid w:val="001662C7"/>
    <w:rsid w:val="0018583B"/>
    <w:rsid w:val="001D5A11"/>
    <w:rsid w:val="001D6E61"/>
    <w:rsid w:val="001D716F"/>
    <w:rsid w:val="001E26C3"/>
    <w:rsid w:val="001F53FA"/>
    <w:rsid w:val="00205E99"/>
    <w:rsid w:val="002070FE"/>
    <w:rsid w:val="00216D49"/>
    <w:rsid w:val="0022109C"/>
    <w:rsid w:val="00222A28"/>
    <w:rsid w:val="002231DA"/>
    <w:rsid w:val="00224ACA"/>
    <w:rsid w:val="00232AE6"/>
    <w:rsid w:val="00251F5E"/>
    <w:rsid w:val="00255DE7"/>
    <w:rsid w:val="00285523"/>
    <w:rsid w:val="002923D2"/>
    <w:rsid w:val="0029300E"/>
    <w:rsid w:val="002938B1"/>
    <w:rsid w:val="002A3F41"/>
    <w:rsid w:val="002B02AD"/>
    <w:rsid w:val="002B10F8"/>
    <w:rsid w:val="002E0EBD"/>
    <w:rsid w:val="00315304"/>
    <w:rsid w:val="003201AB"/>
    <w:rsid w:val="003243AE"/>
    <w:rsid w:val="00327202"/>
    <w:rsid w:val="00346382"/>
    <w:rsid w:val="003469BC"/>
    <w:rsid w:val="00352BEF"/>
    <w:rsid w:val="00377188"/>
    <w:rsid w:val="003A1D08"/>
    <w:rsid w:val="003B2534"/>
    <w:rsid w:val="003C101F"/>
    <w:rsid w:val="003D667F"/>
    <w:rsid w:val="003F5F9D"/>
    <w:rsid w:val="00400E57"/>
    <w:rsid w:val="00412CAA"/>
    <w:rsid w:val="0041479C"/>
    <w:rsid w:val="00432FAD"/>
    <w:rsid w:val="00440995"/>
    <w:rsid w:val="00446306"/>
    <w:rsid w:val="00450588"/>
    <w:rsid w:val="00492869"/>
    <w:rsid w:val="004B4320"/>
    <w:rsid w:val="004C3388"/>
    <w:rsid w:val="004C786F"/>
    <w:rsid w:val="004D4907"/>
    <w:rsid w:val="004D5D86"/>
    <w:rsid w:val="004E4F10"/>
    <w:rsid w:val="004F6904"/>
    <w:rsid w:val="00511FA8"/>
    <w:rsid w:val="00512E82"/>
    <w:rsid w:val="00533A04"/>
    <w:rsid w:val="00534301"/>
    <w:rsid w:val="005527CB"/>
    <w:rsid w:val="00560E4B"/>
    <w:rsid w:val="005618DA"/>
    <w:rsid w:val="0056390B"/>
    <w:rsid w:val="00581130"/>
    <w:rsid w:val="00592ED6"/>
    <w:rsid w:val="005E48E2"/>
    <w:rsid w:val="005F0D14"/>
    <w:rsid w:val="005F0F18"/>
    <w:rsid w:val="005F50C8"/>
    <w:rsid w:val="00616FE5"/>
    <w:rsid w:val="00634120"/>
    <w:rsid w:val="00656FE3"/>
    <w:rsid w:val="006612F4"/>
    <w:rsid w:val="006628E3"/>
    <w:rsid w:val="0066613A"/>
    <w:rsid w:val="00673CD3"/>
    <w:rsid w:val="0069585A"/>
    <w:rsid w:val="006C491D"/>
    <w:rsid w:val="006D0730"/>
    <w:rsid w:val="006D4EED"/>
    <w:rsid w:val="00700A11"/>
    <w:rsid w:val="007055F7"/>
    <w:rsid w:val="00730A60"/>
    <w:rsid w:val="007405E4"/>
    <w:rsid w:val="00747020"/>
    <w:rsid w:val="00764C2E"/>
    <w:rsid w:val="00764F96"/>
    <w:rsid w:val="007661D7"/>
    <w:rsid w:val="00772BEE"/>
    <w:rsid w:val="0078721D"/>
    <w:rsid w:val="00787BCD"/>
    <w:rsid w:val="007A5718"/>
    <w:rsid w:val="007A682E"/>
    <w:rsid w:val="007A7ECA"/>
    <w:rsid w:val="007C430C"/>
    <w:rsid w:val="007C7355"/>
    <w:rsid w:val="007E1739"/>
    <w:rsid w:val="007F2F80"/>
    <w:rsid w:val="008038DC"/>
    <w:rsid w:val="0081421D"/>
    <w:rsid w:val="008457E7"/>
    <w:rsid w:val="00861857"/>
    <w:rsid w:val="00861F1B"/>
    <w:rsid w:val="00882B84"/>
    <w:rsid w:val="00890330"/>
    <w:rsid w:val="00891B1D"/>
    <w:rsid w:val="00891D8C"/>
    <w:rsid w:val="008A67AB"/>
    <w:rsid w:val="008C2912"/>
    <w:rsid w:val="008D1F29"/>
    <w:rsid w:val="008D6E58"/>
    <w:rsid w:val="008D73D6"/>
    <w:rsid w:val="008F0803"/>
    <w:rsid w:val="00903301"/>
    <w:rsid w:val="0090387E"/>
    <w:rsid w:val="00915A30"/>
    <w:rsid w:val="00925495"/>
    <w:rsid w:val="009403EF"/>
    <w:rsid w:val="00946C7B"/>
    <w:rsid w:val="00954AA8"/>
    <w:rsid w:val="00993314"/>
    <w:rsid w:val="00993847"/>
    <w:rsid w:val="009B1B51"/>
    <w:rsid w:val="009B598F"/>
    <w:rsid w:val="00A07567"/>
    <w:rsid w:val="00A106E1"/>
    <w:rsid w:val="00A14D63"/>
    <w:rsid w:val="00A15E5D"/>
    <w:rsid w:val="00A63E6A"/>
    <w:rsid w:val="00A70B6B"/>
    <w:rsid w:val="00A7174B"/>
    <w:rsid w:val="00A745DF"/>
    <w:rsid w:val="00A86538"/>
    <w:rsid w:val="00A87C9D"/>
    <w:rsid w:val="00AA1541"/>
    <w:rsid w:val="00AA5132"/>
    <w:rsid w:val="00AC1266"/>
    <w:rsid w:val="00AF0D08"/>
    <w:rsid w:val="00AF2ECD"/>
    <w:rsid w:val="00AF60B7"/>
    <w:rsid w:val="00B065D2"/>
    <w:rsid w:val="00B12F51"/>
    <w:rsid w:val="00B360C2"/>
    <w:rsid w:val="00B43AB5"/>
    <w:rsid w:val="00B5577E"/>
    <w:rsid w:val="00B62536"/>
    <w:rsid w:val="00B76285"/>
    <w:rsid w:val="00BB3ED3"/>
    <w:rsid w:val="00BC4CCD"/>
    <w:rsid w:val="00BE6D57"/>
    <w:rsid w:val="00BF3867"/>
    <w:rsid w:val="00BF6AD9"/>
    <w:rsid w:val="00BF7B67"/>
    <w:rsid w:val="00C07B57"/>
    <w:rsid w:val="00C267ED"/>
    <w:rsid w:val="00C37568"/>
    <w:rsid w:val="00C507E0"/>
    <w:rsid w:val="00C56CCC"/>
    <w:rsid w:val="00C74164"/>
    <w:rsid w:val="00C81872"/>
    <w:rsid w:val="00C82978"/>
    <w:rsid w:val="00C82989"/>
    <w:rsid w:val="00CB6DEF"/>
    <w:rsid w:val="00CC71D5"/>
    <w:rsid w:val="00CE5869"/>
    <w:rsid w:val="00CE7194"/>
    <w:rsid w:val="00CF782F"/>
    <w:rsid w:val="00D016B7"/>
    <w:rsid w:val="00D05BA2"/>
    <w:rsid w:val="00D33D79"/>
    <w:rsid w:val="00D34A7B"/>
    <w:rsid w:val="00D43B6C"/>
    <w:rsid w:val="00D45C85"/>
    <w:rsid w:val="00D74176"/>
    <w:rsid w:val="00D77924"/>
    <w:rsid w:val="00D8426B"/>
    <w:rsid w:val="00D93D7A"/>
    <w:rsid w:val="00D93F67"/>
    <w:rsid w:val="00D95C22"/>
    <w:rsid w:val="00DC4F98"/>
    <w:rsid w:val="00DD4E2A"/>
    <w:rsid w:val="00DD617D"/>
    <w:rsid w:val="00DE0E30"/>
    <w:rsid w:val="00DF7DE1"/>
    <w:rsid w:val="00E01684"/>
    <w:rsid w:val="00E30266"/>
    <w:rsid w:val="00E74EC5"/>
    <w:rsid w:val="00E765F7"/>
    <w:rsid w:val="00E84B44"/>
    <w:rsid w:val="00E8554B"/>
    <w:rsid w:val="00E94FFD"/>
    <w:rsid w:val="00EB035D"/>
    <w:rsid w:val="00EB19C9"/>
    <w:rsid w:val="00EF27D2"/>
    <w:rsid w:val="00EF538D"/>
    <w:rsid w:val="00EF63CB"/>
    <w:rsid w:val="00F0114B"/>
    <w:rsid w:val="00F128FE"/>
    <w:rsid w:val="00F177FE"/>
    <w:rsid w:val="00F30199"/>
    <w:rsid w:val="00F30D5E"/>
    <w:rsid w:val="00F509B5"/>
    <w:rsid w:val="00F659E7"/>
    <w:rsid w:val="00F70D86"/>
    <w:rsid w:val="00F7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7E629"/>
  <w15:chartTrackingRefBased/>
  <w15:docId w15:val="{F64E6369-12B6-433F-9E57-5743BAE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4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3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30C"/>
  </w:style>
  <w:style w:type="paragraph" w:styleId="Stopka">
    <w:name w:val="footer"/>
    <w:basedOn w:val="Normalny"/>
    <w:link w:val="StopkaZnak"/>
    <w:uiPriority w:val="99"/>
    <w:unhideWhenUsed/>
    <w:rsid w:val="007C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30C"/>
  </w:style>
  <w:style w:type="character" w:styleId="Hipercze">
    <w:name w:val="Hyperlink"/>
    <w:uiPriority w:val="99"/>
    <w:unhideWhenUsed/>
    <w:rsid w:val="007C430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1D5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5A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5A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A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5A11"/>
    <w:rPr>
      <w:b/>
      <w:bCs/>
      <w:lang w:eastAsia="en-US"/>
    </w:rPr>
  </w:style>
  <w:style w:type="paragraph" w:styleId="Poprawka">
    <w:name w:val="Revision"/>
    <w:hidden/>
    <w:uiPriority w:val="99"/>
    <w:semiHidden/>
    <w:rsid w:val="0053430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A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AE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AE6"/>
    <w:rPr>
      <w:vertAlign w:val="superscript"/>
    </w:rPr>
  </w:style>
  <w:style w:type="character" w:styleId="Uwydatnienie">
    <w:name w:val="Emphasis"/>
    <w:uiPriority w:val="20"/>
    <w:qFormat/>
    <w:rsid w:val="00285523"/>
    <w:rPr>
      <w:i/>
      <w:iCs/>
    </w:rPr>
  </w:style>
  <w:style w:type="character" w:styleId="Pogrubienie">
    <w:name w:val="Strong"/>
    <w:basedOn w:val="Domylnaczcionkaakapitu"/>
    <w:uiPriority w:val="22"/>
    <w:qFormat/>
    <w:rsid w:val="00E74E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tosz.sosnowka@dwapiar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ktoring.bnpparibas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4208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8257658</vt:i4>
      </vt:variant>
      <vt:variant>
        <vt:i4>0</vt:i4>
      </vt:variant>
      <vt:variant>
        <vt:i4>0</vt:i4>
      </vt:variant>
      <vt:variant>
        <vt:i4>5</vt:i4>
      </vt:variant>
      <vt:variant>
        <vt:lpwstr>http://www.faktoring.bnpparibas.pl/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10</cp:revision>
  <dcterms:created xsi:type="dcterms:W3CDTF">2024-05-07T14:40:00Z</dcterms:created>
  <dcterms:modified xsi:type="dcterms:W3CDTF">2024-07-23T07:09:00Z</dcterms:modified>
</cp:coreProperties>
</file>